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2B7A3B" w14:textId="2F7047B2" w:rsidR="00645F36" w:rsidRDefault="00F27839">
      <w:pPr>
        <w:rPr>
          <w:rFonts w:ascii="Bradley Hand ITC" w:hAnsi="Bradley Hand ITC"/>
          <w:b/>
          <w:bCs/>
          <w:sz w:val="28"/>
          <w:szCs w:val="28"/>
        </w:rPr>
      </w:pPr>
      <w:bookmarkStart w:id="0" w:name="_GoBack"/>
      <w:bookmarkEnd w:id="0"/>
      <w:r>
        <w:rPr>
          <w:rFonts w:ascii="Bradley Hand ITC" w:hAnsi="Bradley Hand ITC"/>
          <w:b/>
          <w:bCs/>
          <w:sz w:val="28"/>
          <w:szCs w:val="28"/>
        </w:rPr>
        <w:t>Frei? Verspielte Freiheit</w:t>
      </w:r>
    </w:p>
    <w:p w14:paraId="017B575A" w14:textId="77777777" w:rsidR="00211316" w:rsidRDefault="00211316">
      <w:pPr>
        <w:rPr>
          <w:rFonts w:ascii="Bradley Hand ITC" w:hAnsi="Bradley Hand ITC"/>
          <w:b/>
          <w:bCs/>
          <w:sz w:val="28"/>
          <w:szCs w:val="28"/>
        </w:rPr>
      </w:pPr>
    </w:p>
    <w:p w14:paraId="56747B7D" w14:textId="6026A1E6" w:rsidR="00F27839" w:rsidRDefault="00F27839">
      <w:pPr>
        <w:rPr>
          <w:rFonts w:ascii="Bradley Hand ITC" w:hAnsi="Bradley Hand ITC"/>
          <w:b/>
          <w:bCs/>
          <w:sz w:val="28"/>
          <w:szCs w:val="28"/>
        </w:rPr>
      </w:pPr>
      <w:r>
        <w:rPr>
          <w:rFonts w:ascii="Bradley Hand ITC" w:hAnsi="Bradley Hand ITC"/>
          <w:b/>
          <w:bCs/>
          <w:noProof/>
          <w:sz w:val="28"/>
          <w:szCs w:val="28"/>
          <w:lang w:eastAsia="de-DE"/>
        </w:rPr>
        <w:drawing>
          <wp:anchor distT="0" distB="0" distL="114300" distR="114300" simplePos="0" relativeHeight="251658240" behindDoc="0" locked="0" layoutInCell="1" allowOverlap="1" wp14:anchorId="6F3257AE" wp14:editId="141A6DB4">
            <wp:simplePos x="0" y="0"/>
            <wp:positionH relativeFrom="margin">
              <wp:align>left</wp:align>
            </wp:positionH>
            <wp:positionV relativeFrom="paragraph">
              <wp:posOffset>14605</wp:posOffset>
            </wp:positionV>
            <wp:extent cx="2731770" cy="1821180"/>
            <wp:effectExtent l="0" t="0" r="0" b="7620"/>
            <wp:wrapSquare wrapText="bothSides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1770" cy="1821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451BCA0" w14:textId="009E910C" w:rsidR="00F27839" w:rsidRDefault="00F27839">
      <w:pPr>
        <w:rPr>
          <w:rFonts w:ascii="Bradley Hand ITC" w:hAnsi="Bradley Hand ITC"/>
          <w:b/>
          <w:bCs/>
          <w:sz w:val="28"/>
          <w:szCs w:val="28"/>
        </w:rPr>
      </w:pPr>
      <w:r>
        <w:rPr>
          <w:rFonts w:ascii="Bradley Hand ITC" w:hAnsi="Bradley Hand ITC"/>
          <w:b/>
          <w:bCs/>
          <w:sz w:val="28"/>
          <w:szCs w:val="28"/>
        </w:rPr>
        <w:t xml:space="preserve">Schriftwort: </w:t>
      </w:r>
      <w:proofErr w:type="spellStart"/>
      <w:r>
        <w:rPr>
          <w:rFonts w:ascii="Bradley Hand ITC" w:hAnsi="Bradley Hand ITC"/>
          <w:b/>
          <w:bCs/>
          <w:sz w:val="28"/>
          <w:szCs w:val="28"/>
        </w:rPr>
        <w:t>Lk</w:t>
      </w:r>
      <w:proofErr w:type="spellEnd"/>
      <w:r>
        <w:rPr>
          <w:rFonts w:ascii="Bradley Hand ITC" w:hAnsi="Bradley Hand ITC"/>
          <w:b/>
          <w:bCs/>
          <w:sz w:val="28"/>
          <w:szCs w:val="28"/>
        </w:rPr>
        <w:t xml:space="preserve"> 15,13-17a</w:t>
      </w:r>
    </w:p>
    <w:p w14:paraId="5E2F37E1" w14:textId="4A8526A1" w:rsidR="00F27839" w:rsidRDefault="00F27839">
      <w:pPr>
        <w:rPr>
          <w:rFonts w:ascii="Bradley Hand ITC" w:hAnsi="Bradley Hand ITC"/>
          <w:sz w:val="28"/>
          <w:szCs w:val="28"/>
        </w:rPr>
      </w:pPr>
      <w:r>
        <w:rPr>
          <w:rFonts w:ascii="Bradley Hand ITC" w:hAnsi="Bradley Hand ITC"/>
          <w:sz w:val="28"/>
          <w:szCs w:val="28"/>
        </w:rPr>
        <w:t xml:space="preserve">Nach wenigen </w:t>
      </w:r>
      <w:r w:rsidR="00496BCE">
        <w:rPr>
          <w:rFonts w:ascii="Bradley Hand ITC" w:hAnsi="Bradley Hand ITC"/>
          <w:sz w:val="28"/>
          <w:szCs w:val="28"/>
        </w:rPr>
        <w:t>T</w:t>
      </w:r>
      <w:r>
        <w:rPr>
          <w:rFonts w:ascii="Bradley Hand ITC" w:hAnsi="Bradley Hand ITC"/>
          <w:sz w:val="28"/>
          <w:szCs w:val="28"/>
        </w:rPr>
        <w:t>agen packte der jüngere Sohn alles zusammen und zog in ein fernes Land. Dort führte er ein zügelloses Leben</w:t>
      </w:r>
      <w:r w:rsidR="00496BCE">
        <w:rPr>
          <w:rFonts w:ascii="Bradley Hand ITC" w:hAnsi="Bradley Hand ITC"/>
          <w:sz w:val="28"/>
          <w:szCs w:val="28"/>
        </w:rPr>
        <w:t xml:space="preserve"> und verschleuderte sein Vermögen.</w:t>
      </w:r>
    </w:p>
    <w:p w14:paraId="1C1AE8C3" w14:textId="2C92DEF3" w:rsidR="00496BCE" w:rsidRDefault="00496BCE">
      <w:pPr>
        <w:rPr>
          <w:rFonts w:ascii="Bradley Hand ITC" w:hAnsi="Bradley Hand ITC"/>
          <w:sz w:val="28"/>
          <w:szCs w:val="28"/>
        </w:rPr>
      </w:pPr>
      <w:r>
        <w:rPr>
          <w:rFonts w:ascii="Bradley Hand ITC" w:hAnsi="Bradley Hand ITC"/>
          <w:sz w:val="28"/>
          <w:szCs w:val="28"/>
        </w:rPr>
        <w:t xml:space="preserve">Als er alles durchgebracht hatte, kam eine große Hungersnot über jenes Land und er begann Not zu leiden. Da ging er zu einem Bürger des </w:t>
      </w:r>
      <w:proofErr w:type="spellStart"/>
      <w:r>
        <w:rPr>
          <w:rFonts w:ascii="Bradley Hand ITC" w:hAnsi="Bradley Hand ITC"/>
          <w:sz w:val="28"/>
          <w:szCs w:val="28"/>
        </w:rPr>
        <w:t>landes</w:t>
      </w:r>
      <w:proofErr w:type="spellEnd"/>
      <w:r>
        <w:rPr>
          <w:rFonts w:ascii="Bradley Hand ITC" w:hAnsi="Bradley Hand ITC"/>
          <w:sz w:val="28"/>
          <w:szCs w:val="28"/>
        </w:rPr>
        <w:t xml:space="preserve"> und drängte sich ihm auf; der schickte ihn aufs Feld zum Schweinehüten. Er hätte gern seinen Hunger mit den Futterschoten gestillt, die die Schweine fraßen; aber niemand gab ihm davon. Da ging er in sich …</w:t>
      </w:r>
    </w:p>
    <w:p w14:paraId="568B2904" w14:textId="77777777" w:rsidR="00496BCE" w:rsidRDefault="00496BCE">
      <w:pPr>
        <w:rPr>
          <w:rFonts w:ascii="Bradley Hand ITC" w:hAnsi="Bradley Hand ITC"/>
          <w:b/>
          <w:bCs/>
          <w:sz w:val="28"/>
          <w:szCs w:val="28"/>
        </w:rPr>
      </w:pPr>
    </w:p>
    <w:p w14:paraId="3B0E3EB7" w14:textId="33B16076" w:rsidR="00496BCE" w:rsidRDefault="00496BCE">
      <w:pPr>
        <w:rPr>
          <w:rFonts w:ascii="Bradley Hand ITC" w:hAnsi="Bradley Hand ITC"/>
          <w:b/>
          <w:bCs/>
          <w:sz w:val="28"/>
          <w:szCs w:val="28"/>
        </w:rPr>
      </w:pPr>
      <w:r>
        <w:rPr>
          <w:rFonts w:ascii="Bradley Hand ITC" w:hAnsi="Bradley Hand ITC"/>
          <w:b/>
          <w:bCs/>
          <w:sz w:val="28"/>
          <w:szCs w:val="28"/>
        </w:rPr>
        <w:t>Vertiefung</w:t>
      </w:r>
    </w:p>
    <w:p w14:paraId="67DA5DAA" w14:textId="77777777" w:rsidR="00B961E7" w:rsidRDefault="00B961E7">
      <w:pPr>
        <w:rPr>
          <w:rFonts w:ascii="Bradley Hand ITC" w:hAnsi="Bradley Hand ITC"/>
          <w:sz w:val="28"/>
          <w:szCs w:val="28"/>
        </w:rPr>
      </w:pPr>
    </w:p>
    <w:p w14:paraId="36CE58D3" w14:textId="0A548761" w:rsidR="00496BCE" w:rsidRDefault="00B961E7">
      <w:pPr>
        <w:rPr>
          <w:rFonts w:ascii="Bradley Hand ITC" w:hAnsi="Bradley Hand ITC"/>
          <w:sz w:val="28"/>
          <w:szCs w:val="28"/>
        </w:rPr>
      </w:pPr>
      <w:r>
        <w:rPr>
          <w:rFonts w:ascii="Bradley Hand ITC" w:hAnsi="Bradley Hand ITC"/>
          <w:sz w:val="28"/>
          <w:szCs w:val="28"/>
        </w:rPr>
        <w:t>Grenzenlose Freiheit hat ihren Preis, das erfährt der jüngere Sohn.</w:t>
      </w:r>
    </w:p>
    <w:p w14:paraId="53B79F89" w14:textId="391E540B" w:rsidR="00B961E7" w:rsidRDefault="00B961E7">
      <w:pPr>
        <w:rPr>
          <w:rFonts w:ascii="Bradley Hand ITC" w:hAnsi="Bradley Hand ITC"/>
          <w:sz w:val="28"/>
          <w:szCs w:val="28"/>
        </w:rPr>
      </w:pPr>
      <w:r>
        <w:rPr>
          <w:rFonts w:ascii="Bradley Hand ITC" w:hAnsi="Bradley Hand ITC"/>
          <w:sz w:val="28"/>
          <w:szCs w:val="28"/>
        </w:rPr>
        <w:t>Er verspielt im wahrsten Sinne des Wortes seine Freiheit und landet in bitterer Armut.</w:t>
      </w:r>
    </w:p>
    <w:p w14:paraId="5B8AFCB7" w14:textId="05FAD437" w:rsidR="00B961E7" w:rsidRDefault="00B961E7">
      <w:pPr>
        <w:rPr>
          <w:rFonts w:ascii="Bradley Hand ITC" w:hAnsi="Bradley Hand ITC"/>
          <w:sz w:val="28"/>
          <w:szCs w:val="28"/>
        </w:rPr>
      </w:pPr>
      <w:r>
        <w:rPr>
          <w:rFonts w:ascii="Bradley Hand ITC" w:hAnsi="Bradley Hand ITC"/>
          <w:sz w:val="28"/>
          <w:szCs w:val="28"/>
        </w:rPr>
        <w:t>„Da ging er in sich …“</w:t>
      </w:r>
    </w:p>
    <w:p w14:paraId="02ABED25" w14:textId="18B54989" w:rsidR="00B961E7" w:rsidRDefault="00B961E7">
      <w:pPr>
        <w:rPr>
          <w:rFonts w:ascii="Bradley Hand ITC" w:hAnsi="Bradley Hand ITC"/>
          <w:sz w:val="28"/>
          <w:szCs w:val="28"/>
        </w:rPr>
      </w:pPr>
    </w:p>
    <w:p w14:paraId="7DD2BCDF" w14:textId="3F484343" w:rsidR="00B961E7" w:rsidRDefault="00B961E7">
      <w:pPr>
        <w:rPr>
          <w:rFonts w:ascii="Bradley Hand ITC" w:hAnsi="Bradley Hand ITC"/>
          <w:sz w:val="28"/>
          <w:szCs w:val="28"/>
        </w:rPr>
      </w:pPr>
      <w:r>
        <w:rPr>
          <w:rFonts w:ascii="Bradley Hand ITC" w:hAnsi="Bradley Hand ITC"/>
          <w:sz w:val="28"/>
          <w:szCs w:val="28"/>
        </w:rPr>
        <w:t>Und ich, wo habe ich meine Freiheit verspielt, wo verspiele ich sie?</w:t>
      </w:r>
    </w:p>
    <w:p w14:paraId="59F07620" w14:textId="276D268F" w:rsidR="00B961E7" w:rsidRDefault="00B961E7">
      <w:pPr>
        <w:rPr>
          <w:rFonts w:ascii="Bradley Hand ITC" w:hAnsi="Bradley Hand ITC"/>
          <w:sz w:val="28"/>
          <w:szCs w:val="28"/>
        </w:rPr>
      </w:pPr>
      <w:r>
        <w:rPr>
          <w:rFonts w:ascii="Bradley Hand ITC" w:hAnsi="Bradley Hand ITC"/>
          <w:sz w:val="28"/>
          <w:szCs w:val="28"/>
        </w:rPr>
        <w:t>Woran merke ich, dass sie verspielt ist?</w:t>
      </w:r>
    </w:p>
    <w:p w14:paraId="216D11BF" w14:textId="52492885" w:rsidR="00B961E7" w:rsidRDefault="00B961E7">
      <w:pPr>
        <w:rPr>
          <w:rFonts w:ascii="Bradley Hand ITC" w:hAnsi="Bradley Hand ITC"/>
          <w:sz w:val="28"/>
          <w:szCs w:val="28"/>
        </w:rPr>
      </w:pPr>
      <w:r>
        <w:rPr>
          <w:rFonts w:ascii="Bradley Hand ITC" w:hAnsi="Bradley Hand ITC"/>
          <w:sz w:val="28"/>
          <w:szCs w:val="28"/>
        </w:rPr>
        <w:t>Ich gehe in mich …</w:t>
      </w:r>
    </w:p>
    <w:p w14:paraId="5BA46595" w14:textId="0D193DFE" w:rsidR="00B961E7" w:rsidRPr="00496BCE" w:rsidRDefault="00B961E7">
      <w:pPr>
        <w:rPr>
          <w:rFonts w:ascii="Bradley Hand ITC" w:hAnsi="Bradley Hand ITC"/>
          <w:sz w:val="28"/>
          <w:szCs w:val="28"/>
        </w:rPr>
      </w:pPr>
      <w:r>
        <w:rPr>
          <w:rFonts w:ascii="Bradley Hand ITC" w:hAnsi="Bradley Hand ITC"/>
          <w:sz w:val="28"/>
          <w:szCs w:val="28"/>
        </w:rPr>
        <w:t>Ich denke an die unfreien Momente, Zeiten und Entscheidungen meines Lebens</w:t>
      </w:r>
      <w:r w:rsidR="00211316">
        <w:rPr>
          <w:rFonts w:ascii="Bradley Hand ITC" w:hAnsi="Bradley Hand ITC"/>
          <w:sz w:val="28"/>
          <w:szCs w:val="28"/>
        </w:rPr>
        <w:t xml:space="preserve"> und komme mit Gott darüber ins Gespräch.</w:t>
      </w:r>
    </w:p>
    <w:sectPr w:rsidR="00B961E7" w:rsidRPr="00496BCE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BC3AD6" w14:textId="77777777" w:rsidR="00DB14EC" w:rsidRDefault="00DB14EC" w:rsidP="00211316">
      <w:pPr>
        <w:spacing w:after="0" w:line="240" w:lineRule="auto"/>
      </w:pPr>
      <w:r>
        <w:separator/>
      </w:r>
    </w:p>
  </w:endnote>
  <w:endnote w:type="continuationSeparator" w:id="0">
    <w:p w14:paraId="698C6E6A" w14:textId="77777777" w:rsidR="00DB14EC" w:rsidRDefault="00DB14EC" w:rsidP="002113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BA7C0E" w14:textId="50B3B337" w:rsidR="00211316" w:rsidRDefault="00211316">
    <w:pPr>
      <w:pStyle w:val="Fuzeile"/>
    </w:pPr>
    <w:r>
      <w:t>Impulse in der Fastenzeit</w:t>
    </w:r>
    <w:r>
      <w:ptab w:relativeTo="margin" w:alignment="center" w:leader="none"/>
    </w:r>
    <w:r>
      <w:t>frei</w:t>
    </w:r>
    <w:r>
      <w:ptab w:relativeTo="margin" w:alignment="right" w:leader="none"/>
    </w:r>
    <w:r>
      <w:t>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709348" w14:textId="77777777" w:rsidR="00DB14EC" w:rsidRDefault="00DB14EC" w:rsidP="00211316">
      <w:pPr>
        <w:spacing w:after="0" w:line="240" w:lineRule="auto"/>
      </w:pPr>
      <w:r>
        <w:separator/>
      </w:r>
    </w:p>
  </w:footnote>
  <w:footnote w:type="continuationSeparator" w:id="0">
    <w:p w14:paraId="7A057465" w14:textId="77777777" w:rsidR="00DB14EC" w:rsidRDefault="00DB14EC" w:rsidP="002113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839"/>
    <w:rsid w:val="00066ADC"/>
    <w:rsid w:val="00211316"/>
    <w:rsid w:val="00496BCE"/>
    <w:rsid w:val="004F74E4"/>
    <w:rsid w:val="00973743"/>
    <w:rsid w:val="00B961E7"/>
    <w:rsid w:val="00DB14EC"/>
    <w:rsid w:val="00F27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D44F0"/>
  <w15:chartTrackingRefBased/>
  <w15:docId w15:val="{1E3072F0-67FB-452C-A954-67A77029E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113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11316"/>
  </w:style>
  <w:style w:type="paragraph" w:styleId="Fuzeile">
    <w:name w:val="footer"/>
    <w:basedOn w:val="Standard"/>
    <w:link w:val="FuzeileZchn"/>
    <w:uiPriority w:val="99"/>
    <w:unhideWhenUsed/>
    <w:rsid w:val="002113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113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861</Characters>
  <Application>Microsoft Office Word</Application>
  <DocSecurity>4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Roswitha Feige</dc:creator>
  <cp:keywords/>
  <dc:description/>
  <cp:lastModifiedBy>Karl-Heinz Weinrad</cp:lastModifiedBy>
  <cp:revision>2</cp:revision>
  <dcterms:created xsi:type="dcterms:W3CDTF">2022-03-17T22:33:00Z</dcterms:created>
  <dcterms:modified xsi:type="dcterms:W3CDTF">2022-03-17T22:33:00Z</dcterms:modified>
</cp:coreProperties>
</file>